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AB10" w14:textId="389D9AEA" w:rsidR="00555895" w:rsidRDefault="00BA64BC">
      <w:pPr>
        <w:spacing w:after="0"/>
      </w:pPr>
      <w:r>
        <w:rPr>
          <w:b/>
          <w:sz w:val="36"/>
        </w:rPr>
        <w:t xml:space="preserve">FAQ: </w:t>
      </w:r>
      <w:r w:rsidR="00E81044">
        <w:rPr>
          <w:b/>
          <w:sz w:val="36"/>
        </w:rPr>
        <w:t>API</w:t>
      </w:r>
      <w:r w:rsidR="00B56DC8">
        <w:rPr>
          <w:b/>
          <w:sz w:val="36"/>
        </w:rPr>
        <w:t xml:space="preserve"> </w:t>
      </w:r>
    </w:p>
    <w:p w14:paraId="30212DFA" w14:textId="5A09C2A2" w:rsidR="00DA5F15" w:rsidRPr="009A2BE8" w:rsidRDefault="00EB1651" w:rsidP="009A2BE8">
      <w:pPr>
        <w:spacing w:after="257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3B887CC5" wp14:editId="7E27779E">
                <wp:extent cx="5982589" cy="12192"/>
                <wp:effectExtent l="0" t="0" r="0" b="0"/>
                <wp:docPr id="1856" name="Group 1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589" cy="12192"/>
                          <a:chOff x="0" y="0"/>
                          <a:chExt cx="5982589" cy="12192"/>
                        </a:xfrm>
                      </wpg:grpSpPr>
                      <wps:wsp>
                        <wps:cNvPr id="2228" name="Shape 2228"/>
                        <wps:cNvSpPr/>
                        <wps:spPr>
                          <a:xfrm>
                            <a:off x="0" y="0"/>
                            <a:ext cx="59825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2589" h="12192">
                                <a:moveTo>
                                  <a:pt x="0" y="0"/>
                                </a:moveTo>
                                <a:lnTo>
                                  <a:pt x="5982589" y="0"/>
                                </a:lnTo>
                                <a:lnTo>
                                  <a:pt x="59825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EEAF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56" style="width:471.07pt;height:0.960022pt;mso-position-horizontal-relative:char;mso-position-vertical-relative:line" coordsize="59825,121">
                <v:shape id="Shape 2229" style="position:absolute;width:59825;height:121;left:0;top:0;" coordsize="5982589,12192" path="m0,0l5982589,0l5982589,12192l0,12192l0,0">
                  <v:stroke weight="0pt" endcap="flat" joinstyle="miter" miterlimit="10" on="false" color="#000000" opacity="0"/>
                  <v:fill on="true" color="#deeaf6"/>
                </v:shape>
              </v:group>
            </w:pict>
          </mc:Fallback>
        </mc:AlternateContent>
      </w:r>
    </w:p>
    <w:p w14:paraId="0050E6EE" w14:textId="49719D0B" w:rsidR="00DA5F15" w:rsidRDefault="00DA5F15" w:rsidP="00DA5F15">
      <w:pPr>
        <w:spacing w:after="135" w:line="244" w:lineRule="auto"/>
        <w:ind w:right="29"/>
        <w:rPr>
          <w:b/>
          <w:bCs/>
        </w:rPr>
      </w:pPr>
      <w:r>
        <w:rPr>
          <w:b/>
          <w:bCs/>
        </w:rPr>
        <w:t xml:space="preserve">Q: </w:t>
      </w:r>
      <w:r w:rsidR="002A205A">
        <w:rPr>
          <w:b/>
          <w:bCs/>
        </w:rPr>
        <w:t>What is the new API</w:t>
      </w:r>
      <w:r>
        <w:rPr>
          <w:b/>
          <w:bCs/>
        </w:rPr>
        <w:t>?</w:t>
      </w:r>
    </w:p>
    <w:p w14:paraId="25CB38DB" w14:textId="6AE66CD3" w:rsidR="00DA5F15" w:rsidRDefault="00DA5F15" w:rsidP="00BA64BC">
      <w:pPr>
        <w:spacing w:after="135" w:line="244" w:lineRule="auto"/>
        <w:ind w:right="29"/>
      </w:pPr>
      <w:r w:rsidRPr="00FE150F">
        <w:t>A</w:t>
      </w:r>
      <w:r>
        <w:rPr>
          <w:b/>
          <w:bCs/>
        </w:rPr>
        <w:t xml:space="preserve">: </w:t>
      </w:r>
      <w:r w:rsidR="002A205A">
        <w:t xml:space="preserve">Aspires previous API was SOAP based and </w:t>
      </w:r>
      <w:proofErr w:type="gramStart"/>
      <w:r w:rsidR="002A205A">
        <w:t>a number of</w:t>
      </w:r>
      <w:proofErr w:type="gramEnd"/>
      <w:r w:rsidR="002A205A">
        <w:t xml:space="preserve"> clients use it today. </w:t>
      </w:r>
      <w:r w:rsidR="001566A5">
        <w:t xml:space="preserve"> </w:t>
      </w:r>
      <w:r w:rsidR="002A205A">
        <w:t xml:space="preserve">The new API is Rest based and was released 10/28/21. </w:t>
      </w:r>
    </w:p>
    <w:p w14:paraId="24E9D16A" w14:textId="22D0ACAE" w:rsidR="002A205A" w:rsidRDefault="002A205A" w:rsidP="00BA64BC">
      <w:pPr>
        <w:spacing w:after="135" w:line="244" w:lineRule="auto"/>
        <w:ind w:right="29"/>
      </w:pPr>
      <w:r w:rsidRPr="00C463DF">
        <w:rPr>
          <w:b/>
          <w:bCs/>
        </w:rPr>
        <w:t>Q:</w:t>
      </w:r>
      <w:r>
        <w:t xml:space="preserve"> </w:t>
      </w:r>
      <w:r w:rsidRPr="002A205A">
        <w:rPr>
          <w:b/>
          <w:bCs/>
        </w:rPr>
        <w:t>What happens to current clients using the original API?</w:t>
      </w:r>
      <w:r>
        <w:t xml:space="preserve"> </w:t>
      </w:r>
    </w:p>
    <w:p w14:paraId="3A7D5E56" w14:textId="1DAD5F90" w:rsidR="002A205A" w:rsidRDefault="002A205A" w:rsidP="00BA64BC">
      <w:pPr>
        <w:spacing w:after="135" w:line="244" w:lineRule="auto"/>
        <w:ind w:right="29"/>
      </w:pPr>
      <w:r w:rsidRPr="00C463DF">
        <w:t>A</w:t>
      </w:r>
      <w:r>
        <w:rPr>
          <w:b/>
          <w:bCs/>
        </w:rPr>
        <w:t xml:space="preserve">: </w:t>
      </w:r>
      <w:r w:rsidRPr="00C463DF">
        <w:t>Today, nothing.</w:t>
      </w:r>
      <w:r>
        <w:rPr>
          <w:b/>
          <w:bCs/>
        </w:rPr>
        <w:t xml:space="preserve"> </w:t>
      </w:r>
      <w:r>
        <w:t xml:space="preserve"> </w:t>
      </w:r>
      <w:r w:rsidR="00C463DF">
        <w:t xml:space="preserve">Clients can continue to use the original API. It won’t be phased out until at least end of 2022 but they will be provided updates in the future. </w:t>
      </w:r>
    </w:p>
    <w:p w14:paraId="3E50EC2E" w14:textId="3CE7D0BC" w:rsidR="00C463DF" w:rsidRDefault="00C463DF" w:rsidP="00C463DF">
      <w:pPr>
        <w:spacing w:after="135" w:line="244" w:lineRule="auto"/>
        <w:ind w:right="29"/>
      </w:pPr>
      <w:r w:rsidRPr="00C463DF">
        <w:rPr>
          <w:b/>
          <w:bCs/>
        </w:rPr>
        <w:t>Q:</w:t>
      </w:r>
      <w:r>
        <w:t xml:space="preserve"> </w:t>
      </w:r>
      <w:r>
        <w:rPr>
          <w:b/>
          <w:bCs/>
        </w:rPr>
        <w:t>Where is documentation for the new API</w:t>
      </w:r>
      <w:r w:rsidRPr="002A205A">
        <w:rPr>
          <w:b/>
          <w:bCs/>
        </w:rPr>
        <w:t>?</w:t>
      </w:r>
      <w:r>
        <w:t xml:space="preserve"> </w:t>
      </w:r>
    </w:p>
    <w:p w14:paraId="243F9F5B" w14:textId="68004929" w:rsidR="00C463DF" w:rsidRDefault="00C463DF" w:rsidP="00C463DF">
      <w:pPr>
        <w:spacing w:after="135" w:line="244" w:lineRule="auto"/>
        <w:ind w:right="29"/>
      </w:pPr>
      <w:r>
        <w:t xml:space="preserve">A: </w:t>
      </w:r>
      <w:r w:rsidR="0009797C">
        <w:t>Documentation for</w:t>
      </w:r>
      <w:r>
        <w:t xml:space="preserve"> the new API is </w:t>
      </w:r>
      <w:r w:rsidR="0009797C">
        <w:t xml:space="preserve">on </w:t>
      </w:r>
      <w:r>
        <w:t xml:space="preserve"> </w:t>
      </w:r>
      <w:hyperlink r:id="rId8" w:history="1">
        <w:r w:rsidR="0009797C" w:rsidRPr="0009797C">
          <w:rPr>
            <w:rStyle w:val="Hyperlink"/>
          </w:rPr>
          <w:t>Swagger</w:t>
        </w:r>
      </w:hyperlink>
      <w:r w:rsidR="0009797C">
        <w:t xml:space="preserve">. </w:t>
      </w:r>
      <w:r w:rsidR="009B46B8">
        <w:t xml:space="preserve">Any changes or updates to the new API will be documented on swagger. </w:t>
      </w:r>
      <w:r w:rsidR="009B46B8">
        <w:t xml:space="preserve">API Query documentation can be found on </w:t>
      </w:r>
      <w:hyperlink r:id="rId9" w:history="1">
        <w:r w:rsidR="009B46B8" w:rsidRPr="009B46B8">
          <w:rPr>
            <w:rStyle w:val="Hyperlink"/>
          </w:rPr>
          <w:t>Aspire knowledge base.</w:t>
        </w:r>
      </w:hyperlink>
      <w:r w:rsidR="009B46B8">
        <w:t xml:space="preserve"> </w:t>
      </w:r>
    </w:p>
    <w:p w14:paraId="0C511B24" w14:textId="13A7E639" w:rsidR="00183702" w:rsidRDefault="00183702" w:rsidP="00C463DF">
      <w:pPr>
        <w:spacing w:after="135" w:line="244" w:lineRule="auto"/>
        <w:ind w:right="29"/>
        <w:rPr>
          <w:b/>
          <w:bCs/>
        </w:rPr>
      </w:pPr>
      <w:r w:rsidRPr="00B56DC8">
        <w:rPr>
          <w:b/>
          <w:bCs/>
        </w:rPr>
        <w:t>Q: Who has access to the new API?</w:t>
      </w:r>
    </w:p>
    <w:p w14:paraId="2B37CFA2" w14:textId="56C00E43" w:rsidR="00543DD2" w:rsidRPr="00543DD2" w:rsidRDefault="00543DD2" w:rsidP="00543DD2">
      <w:pPr>
        <w:pStyle w:val="ListParagraph"/>
        <w:numPr>
          <w:ilvl w:val="0"/>
          <w:numId w:val="10"/>
        </w:numPr>
        <w:spacing w:after="135" w:line="244" w:lineRule="auto"/>
        <w:ind w:right="29"/>
        <w:rPr>
          <w:b/>
          <w:bCs/>
        </w:rPr>
      </w:pPr>
      <w:r>
        <w:rPr>
          <w:b/>
          <w:bCs/>
        </w:rPr>
        <w:t xml:space="preserve">Enterprise Tier: </w:t>
      </w:r>
      <w:r>
        <w:t>API included</w:t>
      </w:r>
    </w:p>
    <w:p w14:paraId="1C4103A8" w14:textId="2F623816" w:rsidR="00543DD2" w:rsidRPr="00543DD2" w:rsidRDefault="00543DD2" w:rsidP="00543DD2">
      <w:pPr>
        <w:pStyle w:val="ListParagraph"/>
        <w:numPr>
          <w:ilvl w:val="0"/>
          <w:numId w:val="10"/>
        </w:numPr>
        <w:spacing w:after="135" w:line="244" w:lineRule="auto"/>
        <w:ind w:right="29"/>
        <w:rPr>
          <w:b/>
          <w:bCs/>
        </w:rPr>
      </w:pPr>
      <w:r>
        <w:rPr>
          <w:b/>
          <w:bCs/>
        </w:rPr>
        <w:t xml:space="preserve">Corporate Tier: </w:t>
      </w:r>
      <w:r>
        <w:t xml:space="preserve">API </w:t>
      </w:r>
      <w:r w:rsidR="0009797C">
        <w:t xml:space="preserve">can be added </w:t>
      </w:r>
      <w:r>
        <w:t>for $350 a month.</w:t>
      </w:r>
    </w:p>
    <w:p w14:paraId="221A1061" w14:textId="18607DD6" w:rsidR="0009797C" w:rsidRPr="0009797C" w:rsidRDefault="00543DD2" w:rsidP="00C463DF">
      <w:pPr>
        <w:pStyle w:val="ListParagraph"/>
        <w:numPr>
          <w:ilvl w:val="0"/>
          <w:numId w:val="10"/>
        </w:numPr>
        <w:spacing w:after="135" w:line="244" w:lineRule="auto"/>
        <w:ind w:right="29"/>
        <w:rPr>
          <w:b/>
          <w:bCs/>
        </w:rPr>
      </w:pPr>
      <w:r w:rsidRPr="0009797C">
        <w:rPr>
          <w:b/>
          <w:bCs/>
        </w:rPr>
        <w:t xml:space="preserve">Growth Tier: </w:t>
      </w:r>
      <w:r>
        <w:t xml:space="preserve">API </w:t>
      </w:r>
      <w:r w:rsidR="0009797C">
        <w:t xml:space="preserve">is not available. </w:t>
      </w:r>
      <w:r>
        <w:t xml:space="preserve"> </w:t>
      </w:r>
    </w:p>
    <w:p w14:paraId="146422F9" w14:textId="77777777" w:rsidR="0009797C" w:rsidRPr="0009797C" w:rsidRDefault="0009797C" w:rsidP="0009797C">
      <w:pPr>
        <w:pStyle w:val="ListParagraph"/>
        <w:spacing w:after="135" w:line="244" w:lineRule="auto"/>
        <w:ind w:right="29"/>
        <w:rPr>
          <w:b/>
          <w:bCs/>
        </w:rPr>
      </w:pPr>
    </w:p>
    <w:p w14:paraId="39C3CCE7" w14:textId="624F39AA" w:rsidR="00183702" w:rsidRPr="0009797C" w:rsidRDefault="009F7C32" w:rsidP="0009797C">
      <w:pPr>
        <w:spacing w:after="135" w:line="244" w:lineRule="auto"/>
        <w:ind w:right="29"/>
        <w:rPr>
          <w:b/>
          <w:bCs/>
        </w:rPr>
      </w:pPr>
      <w:r w:rsidRPr="0009797C">
        <w:rPr>
          <w:b/>
          <w:bCs/>
        </w:rPr>
        <w:t>Q: Where does a company go if they have additional questions about the new API?</w:t>
      </w:r>
    </w:p>
    <w:p w14:paraId="0919442F" w14:textId="3A29994F" w:rsidR="009F7C32" w:rsidRDefault="009F7C32" w:rsidP="00C463DF">
      <w:pPr>
        <w:spacing w:after="135" w:line="244" w:lineRule="auto"/>
        <w:ind w:right="29"/>
      </w:pPr>
      <w:r w:rsidRPr="00D02C1D">
        <w:t>A</w:t>
      </w:r>
      <w:r w:rsidRPr="00D02C1D">
        <w:rPr>
          <w:b/>
          <w:bCs/>
        </w:rPr>
        <w:t xml:space="preserve">: </w:t>
      </w:r>
      <w:r w:rsidR="0009797C">
        <w:t>Aspire clients can</w:t>
      </w:r>
      <w:r w:rsidR="00D02C1D">
        <w:t xml:space="preserve"> submit questions through support chat. </w:t>
      </w:r>
    </w:p>
    <w:p w14:paraId="34D6A71B" w14:textId="6EEB8CA5" w:rsidR="00765437" w:rsidRPr="001A6119" w:rsidRDefault="00765437" w:rsidP="00C463DF">
      <w:pPr>
        <w:spacing w:after="135" w:line="244" w:lineRule="auto"/>
        <w:ind w:right="29"/>
        <w:rPr>
          <w:b/>
          <w:bCs/>
        </w:rPr>
      </w:pPr>
      <w:r w:rsidRPr="001A6119">
        <w:rPr>
          <w:b/>
          <w:bCs/>
        </w:rPr>
        <w:t>Q: What about IPS</w:t>
      </w:r>
      <w:r w:rsidR="000F0CB1">
        <w:rPr>
          <w:b/>
          <w:bCs/>
        </w:rPr>
        <w:t xml:space="preserve">, </w:t>
      </w:r>
      <w:r w:rsidR="006F4F6F">
        <w:rPr>
          <w:b/>
          <w:bCs/>
        </w:rPr>
        <w:t>Greenius</w:t>
      </w:r>
      <w:r w:rsidR="000F0CB1">
        <w:rPr>
          <w:b/>
          <w:bCs/>
        </w:rPr>
        <w:t>, GPS</w:t>
      </w:r>
      <w:r w:rsidRPr="001A6119">
        <w:rPr>
          <w:b/>
          <w:bCs/>
        </w:rPr>
        <w:t xml:space="preserve"> clients?</w:t>
      </w:r>
    </w:p>
    <w:p w14:paraId="1975BA58" w14:textId="0DBF5D1C" w:rsidR="00765437" w:rsidRDefault="00765437" w:rsidP="00C463DF">
      <w:pPr>
        <w:spacing w:after="135" w:line="244" w:lineRule="auto"/>
        <w:ind w:right="29"/>
      </w:pPr>
      <w:r>
        <w:t xml:space="preserve">A: If a client signs up for </w:t>
      </w:r>
      <w:r w:rsidR="000F0CB1">
        <w:t>IPS, Greenius, or GPS</w:t>
      </w:r>
      <w:r>
        <w:t xml:space="preserve"> </w:t>
      </w:r>
      <w:r w:rsidR="001A6119">
        <w:t xml:space="preserve">and needs access to the API they can submit request through AspireCare support chat. </w:t>
      </w:r>
    </w:p>
    <w:p w14:paraId="3CA5C3E2" w14:textId="55BD450A" w:rsidR="002A6D25" w:rsidRDefault="002A6D25" w:rsidP="00C463DF">
      <w:pPr>
        <w:spacing w:after="135" w:line="244" w:lineRule="auto"/>
        <w:ind w:right="29"/>
        <w:rPr>
          <w:b/>
          <w:bCs/>
        </w:rPr>
      </w:pPr>
      <w:r w:rsidRPr="002A6D25">
        <w:rPr>
          <w:b/>
          <w:bCs/>
        </w:rPr>
        <w:t>Q: Does Aspire have a third-party reference building the API?</w:t>
      </w:r>
    </w:p>
    <w:p w14:paraId="24A60B39" w14:textId="10FBCF4B" w:rsidR="002A6D25" w:rsidRPr="000642CC" w:rsidRDefault="002A6D25" w:rsidP="00C463DF">
      <w:pPr>
        <w:spacing w:after="135" w:line="244" w:lineRule="auto"/>
        <w:ind w:right="29"/>
      </w:pPr>
      <w:r>
        <w:rPr>
          <w:b/>
          <w:bCs/>
        </w:rPr>
        <w:t xml:space="preserve">A: </w:t>
      </w:r>
      <w:r w:rsidR="00E36224">
        <w:t xml:space="preserve">Yes, Savvy Otter is an Aspire partner that has provided API solutions for Aspire Clients. </w:t>
      </w:r>
      <w:r>
        <w:t xml:space="preserve"> </w:t>
      </w:r>
      <w:r w:rsidR="00E36224">
        <w:t xml:space="preserve">Click the link to contact them and get started. </w:t>
      </w:r>
      <w:hyperlink r:id="rId10" w:history="1">
        <w:r w:rsidR="00E36224" w:rsidRPr="00E36224">
          <w:rPr>
            <w:rStyle w:val="Hyperlink"/>
          </w:rPr>
          <w:t>Contact Savvy Otter</w:t>
        </w:r>
      </w:hyperlink>
    </w:p>
    <w:p w14:paraId="02CD77F3" w14:textId="55ABAFDF" w:rsidR="00D02C1D" w:rsidRDefault="001A6119" w:rsidP="00C463DF">
      <w:pPr>
        <w:spacing w:after="135" w:line="244" w:lineRule="auto"/>
        <w:ind w:right="29"/>
        <w:rPr>
          <w:b/>
          <w:bCs/>
        </w:rPr>
      </w:pPr>
      <w:r w:rsidRPr="002417D4">
        <w:rPr>
          <w:b/>
          <w:bCs/>
        </w:rPr>
        <w:t>Q: Do</w:t>
      </w:r>
      <w:r w:rsidR="00543DD2">
        <w:rPr>
          <w:b/>
          <w:bCs/>
        </w:rPr>
        <w:t>es Aspire provide technical support?</w:t>
      </w:r>
    </w:p>
    <w:p w14:paraId="79BAA5A2" w14:textId="43E78796" w:rsidR="002417D4" w:rsidRDefault="002417D4" w:rsidP="00C463DF">
      <w:pPr>
        <w:spacing w:after="135" w:line="244" w:lineRule="auto"/>
        <w:ind w:right="29"/>
      </w:pPr>
      <w:r>
        <w:rPr>
          <w:b/>
          <w:bCs/>
        </w:rPr>
        <w:t xml:space="preserve">A: </w:t>
      </w:r>
      <w:r>
        <w:t xml:space="preserve">It is the </w:t>
      </w:r>
      <w:r w:rsidR="00552DBA">
        <w:t>client’s</w:t>
      </w:r>
      <w:r>
        <w:t xml:space="preserve"> responsibility to build the API.  </w:t>
      </w:r>
      <w:r w:rsidR="000642CC">
        <w:t xml:space="preserve">Aspire will assist in defining fields from the API to the client’s technical team.  If an extended meeting is </w:t>
      </w:r>
      <w:r w:rsidR="00805E8D">
        <w:t>required,</w:t>
      </w:r>
      <w:r w:rsidR="000642CC">
        <w:t xml:space="preserve"> the client would be billed $250 per hour.</w:t>
      </w:r>
    </w:p>
    <w:p w14:paraId="136DBC9C" w14:textId="792B32A2" w:rsidR="00CC7961" w:rsidRDefault="00CC7961" w:rsidP="00C463DF">
      <w:pPr>
        <w:spacing w:after="135" w:line="244" w:lineRule="auto"/>
        <w:ind w:right="29"/>
        <w:rPr>
          <w:b/>
          <w:bCs/>
        </w:rPr>
      </w:pPr>
      <w:r w:rsidRPr="00CC7961">
        <w:rPr>
          <w:b/>
          <w:bCs/>
        </w:rPr>
        <w:t xml:space="preserve">Q: </w:t>
      </w:r>
      <w:r w:rsidR="00DC61B9">
        <w:rPr>
          <w:b/>
          <w:bCs/>
        </w:rPr>
        <w:t xml:space="preserve">How do I get </w:t>
      </w:r>
      <w:r w:rsidR="00FD024C" w:rsidRPr="00DC61B9">
        <w:rPr>
          <w:b/>
          <w:bCs/>
          <w:u w:val="single"/>
        </w:rPr>
        <w:t>ALL</w:t>
      </w:r>
      <w:r w:rsidR="00DC61B9">
        <w:rPr>
          <w:b/>
          <w:bCs/>
        </w:rPr>
        <w:t xml:space="preserve"> my data</w:t>
      </w:r>
      <w:r w:rsidRPr="00CC7961">
        <w:rPr>
          <w:b/>
          <w:bCs/>
        </w:rPr>
        <w:t>?</w:t>
      </w:r>
    </w:p>
    <w:p w14:paraId="23ED7E5E" w14:textId="51F4AADB" w:rsidR="00CC7961" w:rsidRPr="00CC7961" w:rsidRDefault="00CC7961" w:rsidP="00C463DF">
      <w:pPr>
        <w:spacing w:after="135" w:line="244" w:lineRule="auto"/>
        <w:ind w:right="29"/>
      </w:pPr>
      <w:r>
        <w:t xml:space="preserve">A: </w:t>
      </w:r>
      <w:r w:rsidR="00DC61B9">
        <w:t>T</w:t>
      </w:r>
      <w:r w:rsidR="004C039F">
        <w:t xml:space="preserve">he </w:t>
      </w:r>
      <w:r w:rsidR="009F16FF">
        <w:t>entire database can be provided as flat file</w:t>
      </w:r>
      <w:r w:rsidR="00DC61B9">
        <w:t>s</w:t>
      </w:r>
      <w:r w:rsidR="009F16FF">
        <w:t xml:space="preserve"> nightly or pushed to an SQL server</w:t>
      </w:r>
      <w:r w:rsidR="00DC61B9">
        <w:t xml:space="preserve"> nightly. Aspire clients can submit questions through support chat if needed. </w:t>
      </w:r>
    </w:p>
    <w:p w14:paraId="1F37E4CA" w14:textId="77777777" w:rsidR="00C463DF" w:rsidRDefault="00C463DF" w:rsidP="00BA64BC">
      <w:pPr>
        <w:spacing w:after="135" w:line="244" w:lineRule="auto"/>
        <w:ind w:right="29"/>
      </w:pPr>
    </w:p>
    <w:p w14:paraId="36034879" w14:textId="77777777" w:rsidR="00C463DF" w:rsidRPr="002A205A" w:rsidRDefault="00C463DF" w:rsidP="00BA64BC">
      <w:pPr>
        <w:spacing w:after="135" w:line="244" w:lineRule="auto"/>
        <w:ind w:right="29"/>
      </w:pPr>
    </w:p>
    <w:p w14:paraId="15DEC352" w14:textId="1F41A23A" w:rsidR="00D74DFD" w:rsidRDefault="00D74DFD" w:rsidP="009A2BE8">
      <w:pPr>
        <w:tabs>
          <w:tab w:val="left" w:pos="5883"/>
        </w:tabs>
        <w:spacing w:after="135" w:line="244" w:lineRule="auto"/>
        <w:ind w:right="29"/>
      </w:pPr>
    </w:p>
    <w:sectPr w:rsidR="00D74D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680" w:right="1141" w:bottom="1414" w:left="1440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FC55" w14:textId="77777777" w:rsidR="002A3B7F" w:rsidRDefault="002A3B7F">
      <w:pPr>
        <w:spacing w:after="0" w:line="240" w:lineRule="auto"/>
      </w:pPr>
      <w:r>
        <w:separator/>
      </w:r>
    </w:p>
  </w:endnote>
  <w:endnote w:type="continuationSeparator" w:id="0">
    <w:p w14:paraId="3F59148F" w14:textId="77777777" w:rsidR="002A3B7F" w:rsidRDefault="002A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A9D4" w14:textId="77777777" w:rsidR="00555895" w:rsidRDefault="00EB1651">
    <w:pPr>
      <w:tabs>
        <w:tab w:val="center" w:pos="9008"/>
      </w:tabs>
      <w:spacing w:after="0"/>
    </w:pPr>
    <w:r>
      <w:rPr>
        <w:sz w:val="16"/>
      </w:rPr>
      <w:t xml:space="preserve">Confidential Aspire KB Article: Creating a User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4</w:t>
      </w:r>
    </w:fldSimple>
    <w:r>
      <w:rPr>
        <w:sz w:val="16"/>
      </w:rPr>
      <w:t xml:space="preserve"> </w:t>
    </w:r>
  </w:p>
  <w:p w14:paraId="36081A56" w14:textId="77777777" w:rsidR="00555895" w:rsidRDefault="00EB1651">
    <w:pPr>
      <w:spacing w:after="0"/>
    </w:pPr>
    <w:r>
      <w:rPr>
        <w:sz w:val="16"/>
      </w:rPr>
      <w:t xml:space="preserve">April 12, 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D00D" w14:textId="1D70CAFA" w:rsidR="00993EEA" w:rsidRPr="00993EEA" w:rsidRDefault="00993EEA" w:rsidP="00993EEA">
    <w:pPr>
      <w:tabs>
        <w:tab w:val="center" w:pos="9008"/>
      </w:tabs>
      <w:spacing w:after="0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8FAC" w14:textId="77777777" w:rsidR="00555895" w:rsidRDefault="00EB1651">
    <w:pPr>
      <w:tabs>
        <w:tab w:val="center" w:pos="9008"/>
      </w:tabs>
      <w:spacing w:after="0"/>
    </w:pPr>
    <w:r>
      <w:rPr>
        <w:sz w:val="16"/>
      </w:rPr>
      <w:t xml:space="preserve">Confidential Aspire KB Article: Creating a User </w:t>
    </w:r>
    <w:r>
      <w:rPr>
        <w:sz w:val="16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4</w:t>
      </w:r>
    </w:fldSimple>
    <w:r>
      <w:rPr>
        <w:sz w:val="16"/>
      </w:rPr>
      <w:t xml:space="preserve"> </w:t>
    </w:r>
  </w:p>
  <w:p w14:paraId="5DBC8769" w14:textId="77777777" w:rsidR="00555895" w:rsidRDefault="00EB1651">
    <w:pPr>
      <w:spacing w:after="0"/>
    </w:pPr>
    <w:r>
      <w:rPr>
        <w:sz w:val="16"/>
      </w:rPr>
      <w:t xml:space="preserve">April 12,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0FAC" w14:textId="77777777" w:rsidR="002A3B7F" w:rsidRDefault="002A3B7F">
      <w:pPr>
        <w:spacing w:after="0" w:line="240" w:lineRule="auto"/>
      </w:pPr>
      <w:r>
        <w:separator/>
      </w:r>
    </w:p>
  </w:footnote>
  <w:footnote w:type="continuationSeparator" w:id="0">
    <w:p w14:paraId="7102CC84" w14:textId="77777777" w:rsidR="002A3B7F" w:rsidRDefault="002A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8369" w14:textId="77777777" w:rsidR="00555895" w:rsidRDefault="00EB1651">
    <w:pPr>
      <w:spacing w:after="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2F823FB" wp14:editId="448936CA">
          <wp:simplePos x="0" y="0"/>
          <wp:positionH relativeFrom="page">
            <wp:posOffset>5327650</wp:posOffset>
          </wp:positionH>
          <wp:positionV relativeFrom="page">
            <wp:posOffset>457200</wp:posOffset>
          </wp:positionV>
          <wp:extent cx="1530350" cy="609600"/>
          <wp:effectExtent l="0" t="0" r="0" b="0"/>
          <wp:wrapSquare wrapText="bothSides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3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3F18D" w14:textId="77777777" w:rsidR="00555895" w:rsidRDefault="00EB1651">
    <w:pPr>
      <w:spacing w:after="0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07BEB8" wp14:editId="472C82CB">
          <wp:simplePos x="0" y="0"/>
          <wp:positionH relativeFrom="page">
            <wp:posOffset>5327650</wp:posOffset>
          </wp:positionH>
          <wp:positionV relativeFrom="page">
            <wp:posOffset>457200</wp:posOffset>
          </wp:positionV>
          <wp:extent cx="1530350" cy="6096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3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2C93" w14:textId="77777777" w:rsidR="00555895" w:rsidRDefault="00EB1651">
    <w:pPr>
      <w:spacing w:after="0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1A27972" wp14:editId="2119B9C5">
          <wp:simplePos x="0" y="0"/>
          <wp:positionH relativeFrom="page">
            <wp:posOffset>5327650</wp:posOffset>
          </wp:positionH>
          <wp:positionV relativeFrom="page">
            <wp:posOffset>457200</wp:posOffset>
          </wp:positionV>
          <wp:extent cx="1530350" cy="6096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3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  <w:r>
      <w:rPr>
        <w:sz w:val="24"/>
      </w:rPr>
      <w:tab/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4D4"/>
    <w:multiLevelType w:val="hybridMultilevel"/>
    <w:tmpl w:val="85D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348"/>
    <w:multiLevelType w:val="hybridMultilevel"/>
    <w:tmpl w:val="DAEE90DA"/>
    <w:lvl w:ilvl="0" w:tplc="7CE276B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C1163"/>
    <w:multiLevelType w:val="hybridMultilevel"/>
    <w:tmpl w:val="87B842CE"/>
    <w:lvl w:ilvl="0" w:tplc="4C805552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EEA5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0AF0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947B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5A72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088F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EEA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F214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20F6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92EBD"/>
    <w:multiLevelType w:val="hybridMultilevel"/>
    <w:tmpl w:val="87B842CE"/>
    <w:lvl w:ilvl="0" w:tplc="4C805552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EEA5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0AF0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947B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5A72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088F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EEA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F214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20F6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E594E"/>
    <w:multiLevelType w:val="hybridMultilevel"/>
    <w:tmpl w:val="07E4F694"/>
    <w:lvl w:ilvl="0" w:tplc="CF28B2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36F632E9"/>
    <w:multiLevelType w:val="hybridMultilevel"/>
    <w:tmpl w:val="87B842CE"/>
    <w:lvl w:ilvl="0" w:tplc="4C805552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EEA5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0AF0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947B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5A72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088F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EEA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F214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20F6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135616"/>
    <w:multiLevelType w:val="hybridMultilevel"/>
    <w:tmpl w:val="87B842CE"/>
    <w:lvl w:ilvl="0" w:tplc="4C805552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EEA5E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20AF0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947B3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65A72D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088F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27EEA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F2145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20F6B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11015E"/>
    <w:multiLevelType w:val="hybridMultilevel"/>
    <w:tmpl w:val="710C51CA"/>
    <w:lvl w:ilvl="0" w:tplc="A224DAC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012D8"/>
    <w:multiLevelType w:val="hybridMultilevel"/>
    <w:tmpl w:val="A6F0BF16"/>
    <w:lvl w:ilvl="0" w:tplc="50CE477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75504A6A"/>
    <w:multiLevelType w:val="hybridMultilevel"/>
    <w:tmpl w:val="F33E467C"/>
    <w:lvl w:ilvl="0" w:tplc="593CECFA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3CF71C">
      <w:start w:val="1"/>
      <w:numFmt w:val="lowerLetter"/>
      <w:lvlText w:val="%2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E08C1A">
      <w:start w:val="1"/>
      <w:numFmt w:val="lowerRoman"/>
      <w:lvlText w:val="%3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4481DE">
      <w:start w:val="1"/>
      <w:numFmt w:val="decimal"/>
      <w:lvlText w:val="%4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84940">
      <w:start w:val="1"/>
      <w:numFmt w:val="lowerLetter"/>
      <w:lvlText w:val="%5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6EE9B2">
      <w:start w:val="1"/>
      <w:numFmt w:val="lowerRoman"/>
      <w:lvlText w:val="%6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E0630">
      <w:start w:val="1"/>
      <w:numFmt w:val="decimal"/>
      <w:lvlText w:val="%7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20F06E">
      <w:start w:val="1"/>
      <w:numFmt w:val="lowerLetter"/>
      <w:lvlText w:val="%8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8F67C">
      <w:start w:val="1"/>
      <w:numFmt w:val="lowerRoman"/>
      <w:lvlText w:val="%9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95"/>
    <w:rsid w:val="000026A7"/>
    <w:rsid w:val="000642CC"/>
    <w:rsid w:val="00082E31"/>
    <w:rsid w:val="0009797C"/>
    <w:rsid w:val="000A7D40"/>
    <w:rsid w:val="000F0CB1"/>
    <w:rsid w:val="001030CA"/>
    <w:rsid w:val="00153CEE"/>
    <w:rsid w:val="001566A5"/>
    <w:rsid w:val="00183702"/>
    <w:rsid w:val="001943A4"/>
    <w:rsid w:val="001A6119"/>
    <w:rsid w:val="001D3317"/>
    <w:rsid w:val="001E2261"/>
    <w:rsid w:val="001F0CAD"/>
    <w:rsid w:val="00236E1F"/>
    <w:rsid w:val="002417D4"/>
    <w:rsid w:val="002728B7"/>
    <w:rsid w:val="002A205A"/>
    <w:rsid w:val="002A3B7F"/>
    <w:rsid w:val="002A6D25"/>
    <w:rsid w:val="0032493B"/>
    <w:rsid w:val="00367B64"/>
    <w:rsid w:val="003D6F8B"/>
    <w:rsid w:val="003E5986"/>
    <w:rsid w:val="004547E8"/>
    <w:rsid w:val="0047264E"/>
    <w:rsid w:val="0047776F"/>
    <w:rsid w:val="004B3029"/>
    <w:rsid w:val="004C039F"/>
    <w:rsid w:val="004F700A"/>
    <w:rsid w:val="00543DD2"/>
    <w:rsid w:val="00552DBA"/>
    <w:rsid w:val="00555895"/>
    <w:rsid w:val="005605D0"/>
    <w:rsid w:val="00582F39"/>
    <w:rsid w:val="005B100D"/>
    <w:rsid w:val="006A043E"/>
    <w:rsid w:val="006B0033"/>
    <w:rsid w:val="006C5EB7"/>
    <w:rsid w:val="006C6B07"/>
    <w:rsid w:val="006F4F6F"/>
    <w:rsid w:val="00765437"/>
    <w:rsid w:val="00766677"/>
    <w:rsid w:val="007A47E0"/>
    <w:rsid w:val="00805E8D"/>
    <w:rsid w:val="008175C6"/>
    <w:rsid w:val="00837586"/>
    <w:rsid w:val="008B04A1"/>
    <w:rsid w:val="008D7D16"/>
    <w:rsid w:val="0095114D"/>
    <w:rsid w:val="00993EEA"/>
    <w:rsid w:val="009A2BE8"/>
    <w:rsid w:val="009A47D8"/>
    <w:rsid w:val="009B46B8"/>
    <w:rsid w:val="009B735E"/>
    <w:rsid w:val="009D68EC"/>
    <w:rsid w:val="009D7A9A"/>
    <w:rsid w:val="009F16FF"/>
    <w:rsid w:val="009F5FDD"/>
    <w:rsid w:val="009F7C32"/>
    <w:rsid w:val="00A21E94"/>
    <w:rsid w:val="00AD046B"/>
    <w:rsid w:val="00B00BEF"/>
    <w:rsid w:val="00B2308E"/>
    <w:rsid w:val="00B56DC8"/>
    <w:rsid w:val="00B63159"/>
    <w:rsid w:val="00B6771F"/>
    <w:rsid w:val="00B95A49"/>
    <w:rsid w:val="00BA64BC"/>
    <w:rsid w:val="00C463DF"/>
    <w:rsid w:val="00C961CA"/>
    <w:rsid w:val="00C97C1A"/>
    <w:rsid w:val="00CC7961"/>
    <w:rsid w:val="00D02C1D"/>
    <w:rsid w:val="00D118FE"/>
    <w:rsid w:val="00D626F5"/>
    <w:rsid w:val="00D74DFD"/>
    <w:rsid w:val="00D90044"/>
    <w:rsid w:val="00DA5F15"/>
    <w:rsid w:val="00DC61B9"/>
    <w:rsid w:val="00E010B2"/>
    <w:rsid w:val="00E1789C"/>
    <w:rsid w:val="00E36224"/>
    <w:rsid w:val="00E80767"/>
    <w:rsid w:val="00E81044"/>
    <w:rsid w:val="00EB1651"/>
    <w:rsid w:val="00F15D64"/>
    <w:rsid w:val="00F529D1"/>
    <w:rsid w:val="00FA7E53"/>
    <w:rsid w:val="00FD024C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38E7"/>
  <w15:docId w15:val="{AA3BD995-2006-4BDD-A2D0-8DB27E5B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0B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B2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3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70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4F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-api.youraspire.com/swagger/index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avvyotter.com/contact-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.youraspire.com/en/articles/5626077-api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B238-27BC-423D-BD3D-D74F035B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User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User</dc:title>
  <dc:subject/>
  <dc:creator>Mark Tipton</dc:creator>
  <cp:keywords/>
  <cp:lastModifiedBy>Greg Malmberg</cp:lastModifiedBy>
  <cp:revision>14</cp:revision>
  <dcterms:created xsi:type="dcterms:W3CDTF">2021-11-08T15:14:00Z</dcterms:created>
  <dcterms:modified xsi:type="dcterms:W3CDTF">2021-11-17T19:04:00Z</dcterms:modified>
</cp:coreProperties>
</file>